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34D8D" w14:textId="6AC7D2F2" w:rsidR="00C26A9F" w:rsidRDefault="00F6342E" w:rsidP="00827F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F473F8" w14:textId="5311B3DB" w:rsidR="00827F2E" w:rsidRDefault="00827F2E" w:rsidP="00827F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2DAC54" w14:textId="1838EF34" w:rsidR="00827F2E" w:rsidRDefault="00827F2E" w:rsidP="00827F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3D6BD1" w14:textId="5E5E072B" w:rsidR="00827F2E" w:rsidRPr="00FB0B74" w:rsidRDefault="00827F2E" w:rsidP="00827F2E">
      <w:pPr>
        <w:spacing w:after="0"/>
        <w:jc w:val="both"/>
        <w:rPr>
          <w:rFonts w:ascii="Times New Roman" w:hAnsi="Times New Roman" w:cs="Times New Roman"/>
          <w:w w:val="175"/>
          <w:sz w:val="24"/>
          <w:szCs w:val="24"/>
        </w:rPr>
      </w:pPr>
    </w:p>
    <w:p w14:paraId="6A2A8FD8" w14:textId="77777777" w:rsidR="00FB0B74" w:rsidRPr="00FB0B74" w:rsidRDefault="00FB0B74" w:rsidP="00FB0B7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B0B74">
        <w:rPr>
          <w:rFonts w:ascii="Times New Roman" w:hAnsi="Times New Roman" w:cs="Times New Roman"/>
          <w:b/>
          <w:bCs/>
          <w:w w:val="175"/>
          <w:sz w:val="40"/>
          <w:szCs w:val="40"/>
        </w:rPr>
        <w:t>Hermenêutica</w:t>
      </w:r>
    </w:p>
    <w:p w14:paraId="7DDD3053" w14:textId="77777777" w:rsidR="00FB0B74" w:rsidRPr="00FB0B74" w:rsidRDefault="00FB0B74" w:rsidP="00FB0B7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B0B74">
        <w:rPr>
          <w:rFonts w:ascii="Times New Roman" w:hAnsi="Times New Roman" w:cs="Times New Roman"/>
          <w:b/>
          <w:bCs/>
          <w:w w:val="175"/>
          <w:sz w:val="40"/>
          <w:szCs w:val="40"/>
        </w:rPr>
        <w:t>311</w:t>
      </w:r>
    </w:p>
    <w:p w14:paraId="2993DEB5" w14:textId="5D100EF7" w:rsidR="00FB0B74" w:rsidRPr="00FB0B74" w:rsidRDefault="00FB0B74" w:rsidP="00FB0B74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FB0B74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Grau Associado</w:t>
      </w:r>
    </w:p>
    <w:p w14:paraId="28D397A7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6DA999" w14:textId="626BAD44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57E2F8BF" wp14:editId="7D0B06E9">
            <wp:simplePos x="0" y="0"/>
            <wp:positionH relativeFrom="margin">
              <wp:posOffset>1851660</wp:posOffset>
            </wp:positionH>
            <wp:positionV relativeFrom="paragraph">
              <wp:posOffset>176187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103AD0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ACE413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6F970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363504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CAF8B8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0D6B50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028AC4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5E5A62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77661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1930B9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ADA73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A796B0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7DDB99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056FD5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4371B2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AA1119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E99D3A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B694AE" w14:textId="2E9B2122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FB0B74">
        <w:rPr>
          <w:rFonts w:ascii="Times New Roman" w:hAnsi="Times New Roman" w:cs="Times New Roman"/>
          <w:sz w:val="28"/>
          <w:szCs w:val="28"/>
        </w:rPr>
        <w:t xml:space="preserve"> </w:t>
      </w:r>
      <w:r w:rsidRPr="00FB0B74">
        <w:rPr>
          <w:rFonts w:ascii="Times New Roman" w:hAnsi="Times New Roman" w:cs="Times New Roman"/>
          <w:sz w:val="24"/>
          <w:szCs w:val="24"/>
        </w:rPr>
        <w:t>12 (mínimo)</w:t>
      </w:r>
    </w:p>
    <w:p w14:paraId="2972B7A5" w14:textId="2B1523A3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04FBF4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FC0604" w14:textId="7AC7CBCB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0B74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F7F8F75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AF6AB2" w14:textId="46BC3370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Tirado da palavra Grega “</w:t>
      </w:r>
      <w:proofErr w:type="spellStart"/>
      <w:r w:rsidRPr="00FB0B74">
        <w:rPr>
          <w:rFonts w:ascii="Times New Roman" w:hAnsi="Times New Roman" w:cs="Times New Roman"/>
          <w:sz w:val="24"/>
          <w:szCs w:val="24"/>
        </w:rPr>
        <w:t>hermeneuo</w:t>
      </w:r>
      <w:proofErr w:type="spellEnd"/>
      <w:r w:rsidRPr="00FB0B74">
        <w:rPr>
          <w:rFonts w:ascii="Times New Roman" w:hAnsi="Times New Roman" w:cs="Times New Roman"/>
          <w:sz w:val="24"/>
          <w:szCs w:val="24"/>
        </w:rPr>
        <w:t>”, hermenêutica significa “explicar ou traduzir”. Neste curso, os alunos aprenderão a explicar e traduzir as Escrituras.</w:t>
      </w:r>
    </w:p>
    <w:p w14:paraId="439D1DC8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8C69E1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49752A" w14:textId="63CC0CAB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0B74">
        <w:rPr>
          <w:rFonts w:ascii="Times New Roman" w:hAnsi="Times New Roman" w:cs="Times New Roman"/>
          <w:b/>
          <w:bCs/>
          <w:sz w:val="28"/>
          <w:szCs w:val="28"/>
        </w:rPr>
        <w:t>Objetivos:</w:t>
      </w:r>
    </w:p>
    <w:p w14:paraId="6E207BC3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8C7D2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26CABB26" w14:textId="77777777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56B75A" w14:textId="3D087B79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1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Defin</w:t>
      </w:r>
      <w:r>
        <w:rPr>
          <w:rFonts w:ascii="Times New Roman" w:hAnsi="Times New Roman" w:cs="Times New Roman"/>
          <w:sz w:val="24"/>
          <w:szCs w:val="24"/>
        </w:rPr>
        <w:t>ir</w:t>
      </w:r>
      <w:r w:rsidRPr="00FB0B74">
        <w:rPr>
          <w:rFonts w:ascii="Times New Roman" w:hAnsi="Times New Roman" w:cs="Times New Roman"/>
          <w:sz w:val="24"/>
          <w:szCs w:val="24"/>
        </w:rPr>
        <w:t xml:space="preserve"> o termo "hermenêutica".</w:t>
      </w:r>
    </w:p>
    <w:p w14:paraId="49C4DF79" w14:textId="01DE4905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2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Identificar as principais causas de má interpretação das Escrituras.</w:t>
      </w:r>
    </w:p>
    <w:p w14:paraId="20BDEE77" w14:textId="387F8EB0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3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Compar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B0B74">
        <w:rPr>
          <w:rFonts w:ascii="Times New Roman" w:hAnsi="Times New Roman" w:cs="Times New Roman"/>
          <w:sz w:val="24"/>
          <w:szCs w:val="24"/>
        </w:rPr>
        <w:t xml:space="preserve"> as diferentes ferramentas Bíblicas e seus diversos níveis de utilidade.</w:t>
      </w:r>
    </w:p>
    <w:p w14:paraId="317205FA" w14:textId="4175DE27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Categorizar as seis diferentes “Ciências Bíblicas”.</w:t>
      </w:r>
    </w:p>
    <w:p w14:paraId="7E5C0AE1" w14:textId="410BD50D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5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FB0B74">
        <w:rPr>
          <w:rFonts w:ascii="Times New Roman" w:hAnsi="Times New Roman" w:cs="Times New Roman"/>
          <w:sz w:val="24"/>
          <w:szCs w:val="24"/>
        </w:rPr>
        <w:t xml:space="preserve"> os cinco métodos diferentes de interpretação Bíblica.</w:t>
      </w:r>
    </w:p>
    <w:p w14:paraId="2C1A4962" w14:textId="2E6A50A5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6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Diferenci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B0B74">
        <w:rPr>
          <w:rFonts w:ascii="Times New Roman" w:hAnsi="Times New Roman" w:cs="Times New Roman"/>
          <w:sz w:val="24"/>
          <w:szCs w:val="24"/>
        </w:rPr>
        <w:t xml:space="preserve"> entre princípios de aliança, </w:t>
      </w:r>
      <w:proofErr w:type="spellStart"/>
      <w:r w:rsidRPr="0063140A">
        <w:rPr>
          <w:rFonts w:ascii="Times New Roman" w:hAnsi="Times New Roman" w:cs="Times New Roman"/>
          <w:sz w:val="24"/>
          <w:szCs w:val="24"/>
        </w:rPr>
        <w:t>dispensac</w:t>
      </w:r>
      <w:r w:rsidR="0063140A" w:rsidRPr="0063140A">
        <w:rPr>
          <w:rFonts w:ascii="Times New Roman" w:hAnsi="Times New Roman" w:cs="Times New Roman"/>
          <w:sz w:val="24"/>
          <w:szCs w:val="24"/>
        </w:rPr>
        <w:t>i</w:t>
      </w:r>
      <w:r w:rsidRPr="0063140A">
        <w:rPr>
          <w:rFonts w:ascii="Times New Roman" w:hAnsi="Times New Roman" w:cs="Times New Roman"/>
          <w:sz w:val="24"/>
          <w:szCs w:val="24"/>
        </w:rPr>
        <w:t>onal</w:t>
      </w:r>
      <w:proofErr w:type="spellEnd"/>
      <w:r w:rsidRPr="00FB0B74">
        <w:rPr>
          <w:rFonts w:ascii="Times New Roman" w:hAnsi="Times New Roman" w:cs="Times New Roman"/>
          <w:sz w:val="24"/>
          <w:szCs w:val="24"/>
        </w:rPr>
        <w:t xml:space="preserve">, típico, moral, contexto, </w:t>
      </w:r>
      <w:r w:rsidR="00F539FC">
        <w:rPr>
          <w:rFonts w:ascii="Times New Roman" w:hAnsi="Times New Roman" w:cs="Times New Roman"/>
          <w:sz w:val="24"/>
          <w:szCs w:val="24"/>
        </w:rPr>
        <w:t>concordância</w:t>
      </w:r>
      <w:r w:rsidRPr="00FB0B74">
        <w:rPr>
          <w:rFonts w:ascii="Times New Roman" w:hAnsi="Times New Roman" w:cs="Times New Roman"/>
          <w:sz w:val="24"/>
          <w:szCs w:val="24"/>
        </w:rPr>
        <w:t xml:space="preserve">, </w:t>
      </w:r>
      <w:r w:rsidR="00552B5A">
        <w:rPr>
          <w:rFonts w:ascii="Times New Roman" w:hAnsi="Times New Roman" w:cs="Times New Roman"/>
          <w:sz w:val="24"/>
          <w:szCs w:val="24"/>
        </w:rPr>
        <w:t>lacuna</w:t>
      </w:r>
      <w:r w:rsidRPr="00FB0B74">
        <w:rPr>
          <w:rFonts w:ascii="Times New Roman" w:hAnsi="Times New Roman" w:cs="Times New Roman"/>
          <w:sz w:val="24"/>
          <w:szCs w:val="24"/>
        </w:rPr>
        <w:t xml:space="preserve">, referência dupla, </w:t>
      </w:r>
      <w:r w:rsidR="0063140A">
        <w:rPr>
          <w:rFonts w:ascii="Times New Roman" w:hAnsi="Times New Roman" w:cs="Times New Roman"/>
          <w:sz w:val="24"/>
          <w:szCs w:val="24"/>
        </w:rPr>
        <w:t>C</w:t>
      </w:r>
      <w:r w:rsidRPr="00FB0B74">
        <w:rPr>
          <w:rFonts w:ascii="Times New Roman" w:hAnsi="Times New Roman" w:cs="Times New Roman"/>
          <w:sz w:val="24"/>
          <w:szCs w:val="24"/>
        </w:rPr>
        <w:t>rist</w:t>
      </w:r>
      <w:r w:rsidR="0063140A">
        <w:rPr>
          <w:rFonts w:ascii="Times New Roman" w:hAnsi="Times New Roman" w:cs="Times New Roman"/>
          <w:sz w:val="24"/>
          <w:szCs w:val="24"/>
        </w:rPr>
        <w:t>o-</w:t>
      </w:r>
      <w:proofErr w:type="spellStart"/>
      <w:r w:rsidR="00F539FC">
        <w:rPr>
          <w:rFonts w:ascii="Times New Roman" w:hAnsi="Times New Roman" w:cs="Times New Roman"/>
          <w:sz w:val="24"/>
          <w:szCs w:val="24"/>
        </w:rPr>
        <w:t>cê</w:t>
      </w:r>
      <w:r w:rsidR="0063140A">
        <w:rPr>
          <w:rFonts w:ascii="Times New Roman" w:hAnsi="Times New Roman" w:cs="Times New Roman"/>
          <w:sz w:val="24"/>
          <w:szCs w:val="24"/>
        </w:rPr>
        <w:t>ntric</w:t>
      </w:r>
      <w:r w:rsidR="00F539FC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FB0B74">
        <w:rPr>
          <w:rFonts w:ascii="Times New Roman" w:hAnsi="Times New Roman" w:cs="Times New Roman"/>
          <w:sz w:val="24"/>
          <w:szCs w:val="24"/>
        </w:rPr>
        <w:t>, parabólico e divisão étnica.</w:t>
      </w:r>
    </w:p>
    <w:p w14:paraId="077E00F5" w14:textId="1FF9D5E7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7</w:t>
      </w:r>
      <w:r w:rsidR="00397E43">
        <w:rPr>
          <w:rFonts w:ascii="Times New Roman" w:hAnsi="Times New Roman" w:cs="Times New Roman"/>
          <w:sz w:val="24"/>
          <w:szCs w:val="24"/>
        </w:rPr>
        <w:t>.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Ilustrar a diferença entre os princípios da primeira menção, menção progressiva, menção comparativa e menção completa.</w:t>
      </w:r>
    </w:p>
    <w:p w14:paraId="07F76E01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43DC47" w14:textId="53DDBAA4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0B74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5866674F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962188" w14:textId="01C26CA6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Hermenêutica como necessidade para a realização e conclusão dos planos de Deus em 2 Timóteo 2:15.</w:t>
      </w:r>
    </w:p>
    <w:p w14:paraId="79914475" w14:textId="655F4000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 w:rsidR="007D156B"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 xml:space="preserve">Exemplos de </w:t>
      </w:r>
      <w:proofErr w:type="gramStart"/>
      <w:r w:rsidRPr="00FB0B74">
        <w:rPr>
          <w:rFonts w:ascii="Times New Roman" w:hAnsi="Times New Roman" w:cs="Times New Roman"/>
          <w:sz w:val="24"/>
          <w:szCs w:val="24"/>
        </w:rPr>
        <w:t xml:space="preserve">hermenêutica </w:t>
      </w:r>
      <w:r w:rsidR="007D156B" w:rsidRPr="00FB0B74">
        <w:rPr>
          <w:rFonts w:ascii="Times New Roman" w:hAnsi="Times New Roman" w:cs="Times New Roman"/>
          <w:sz w:val="24"/>
          <w:szCs w:val="24"/>
        </w:rPr>
        <w:t>Bíblica</w:t>
      </w:r>
      <w:proofErr w:type="gramEnd"/>
      <w:r w:rsidR="007D156B" w:rsidRPr="00FB0B74">
        <w:rPr>
          <w:rFonts w:ascii="Times New Roman" w:hAnsi="Times New Roman" w:cs="Times New Roman"/>
          <w:sz w:val="24"/>
          <w:szCs w:val="24"/>
        </w:rPr>
        <w:t xml:space="preserve"> </w:t>
      </w:r>
      <w:r w:rsidRPr="00FB0B74">
        <w:rPr>
          <w:rFonts w:ascii="Times New Roman" w:hAnsi="Times New Roman" w:cs="Times New Roman"/>
          <w:sz w:val="24"/>
          <w:szCs w:val="24"/>
        </w:rPr>
        <w:t>em ação.</w:t>
      </w:r>
    </w:p>
    <w:p w14:paraId="54FC25A1" w14:textId="66E9D1D2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 w:rsidR="007D156B">
        <w:rPr>
          <w:rFonts w:ascii="Times New Roman" w:hAnsi="Times New Roman" w:cs="Times New Roman"/>
          <w:sz w:val="24"/>
          <w:szCs w:val="24"/>
        </w:rPr>
        <w:tab/>
      </w:r>
      <w:r w:rsidR="004C3F77">
        <w:rPr>
          <w:rFonts w:ascii="Times New Roman" w:hAnsi="Times New Roman" w:cs="Times New Roman"/>
          <w:sz w:val="24"/>
          <w:szCs w:val="24"/>
        </w:rPr>
        <w:t>Lacuna</w:t>
      </w:r>
      <w:r w:rsidR="00485F57">
        <w:rPr>
          <w:rFonts w:ascii="Times New Roman" w:hAnsi="Times New Roman" w:cs="Times New Roman"/>
          <w:sz w:val="24"/>
          <w:szCs w:val="24"/>
        </w:rPr>
        <w:t>s</w:t>
      </w:r>
      <w:r w:rsidRPr="00FB0B74">
        <w:rPr>
          <w:rFonts w:ascii="Times New Roman" w:hAnsi="Times New Roman" w:cs="Times New Roman"/>
          <w:sz w:val="24"/>
          <w:szCs w:val="24"/>
        </w:rPr>
        <w:t xml:space="preserve"> de comunicação entre o texto das Escrituras e a pessoa que está interpretando.</w:t>
      </w:r>
    </w:p>
    <w:p w14:paraId="683C6555" w14:textId="02A98CAD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 w:rsidR="007D156B"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Definições completas de cada princípio de interpretação e os méritos ou falhas de cada um.</w:t>
      </w:r>
    </w:p>
    <w:p w14:paraId="70085188" w14:textId="3D867A60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 w:rsidR="007D156B"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A diferença entre revelação e inspiração.</w:t>
      </w:r>
    </w:p>
    <w:p w14:paraId="0A2CBE94" w14:textId="6B119130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 w:rsidR="007D156B"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As áreas da cultura que devem ser consideradas no processo de interpretação.</w:t>
      </w:r>
    </w:p>
    <w:p w14:paraId="7197E417" w14:textId="1BFBC6E4" w:rsidR="00FB0B74" w:rsidRPr="00FB0B74" w:rsidRDefault="00FB0B74" w:rsidP="00FB0B7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• </w:t>
      </w:r>
      <w:r w:rsidR="007D156B">
        <w:rPr>
          <w:rFonts w:ascii="Times New Roman" w:hAnsi="Times New Roman" w:cs="Times New Roman"/>
          <w:sz w:val="24"/>
          <w:szCs w:val="24"/>
        </w:rPr>
        <w:tab/>
      </w:r>
      <w:r w:rsidRPr="00FB0B74">
        <w:rPr>
          <w:rFonts w:ascii="Times New Roman" w:hAnsi="Times New Roman" w:cs="Times New Roman"/>
          <w:sz w:val="24"/>
          <w:szCs w:val="24"/>
        </w:rPr>
        <w:t>Contexto de aplicações que devem ser feitas do texto bíblico para os crentes contemporâneos.</w:t>
      </w:r>
    </w:p>
    <w:p w14:paraId="6B164CA0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26100B" w14:textId="77777777" w:rsidR="007D156B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05B7C9" w14:textId="4AD4C40E" w:rsid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Didático P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>rimário</w:t>
      </w:r>
      <w:r w:rsidR="00794D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5F7235D6" w14:textId="77777777" w:rsidR="00794D10" w:rsidRDefault="00794D10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62075F" w14:textId="6B8CD766" w:rsidR="00FB0B74" w:rsidRPr="00FB0B74" w:rsidRDefault="00FB0B74" w:rsidP="007D15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156B">
        <w:rPr>
          <w:rFonts w:ascii="Times New Roman" w:hAnsi="Times New Roman" w:cs="Times New Roman"/>
          <w:i/>
          <w:iCs/>
          <w:sz w:val="24"/>
          <w:szCs w:val="24"/>
        </w:rPr>
        <w:t xml:space="preserve">Você </w:t>
      </w:r>
      <w:r w:rsidR="007D156B" w:rsidRPr="007D156B">
        <w:rPr>
          <w:rFonts w:ascii="Times New Roman" w:hAnsi="Times New Roman" w:cs="Times New Roman"/>
          <w:i/>
          <w:iCs/>
          <w:sz w:val="24"/>
          <w:szCs w:val="24"/>
        </w:rPr>
        <w:t>Pode En</w:t>
      </w:r>
      <w:r w:rsidRPr="007D156B">
        <w:rPr>
          <w:rFonts w:ascii="Times New Roman" w:hAnsi="Times New Roman" w:cs="Times New Roman"/>
          <w:i/>
          <w:iCs/>
          <w:sz w:val="24"/>
          <w:szCs w:val="24"/>
        </w:rPr>
        <w:t xml:space="preserve">tender a Bíblia: </w:t>
      </w:r>
      <w:r w:rsidR="007D156B" w:rsidRPr="007D156B">
        <w:rPr>
          <w:rFonts w:ascii="Times New Roman" w:hAnsi="Times New Roman" w:cs="Times New Roman"/>
          <w:i/>
          <w:iCs/>
          <w:sz w:val="24"/>
          <w:szCs w:val="24"/>
        </w:rPr>
        <w:t>Um Guia De Estudo</w:t>
      </w:r>
      <w:r w:rsidRPr="007D156B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 w:rsidR="007D156B" w:rsidRPr="00FB0B74">
        <w:rPr>
          <w:rFonts w:ascii="Times New Roman" w:hAnsi="Times New Roman" w:cs="Times New Roman"/>
          <w:sz w:val="24"/>
          <w:szCs w:val="24"/>
        </w:rPr>
        <w:t xml:space="preserve">Adaptação </w:t>
      </w:r>
      <w:r w:rsidR="007D156B">
        <w:rPr>
          <w:rFonts w:ascii="Times New Roman" w:hAnsi="Times New Roman" w:cs="Times New Roman"/>
          <w:sz w:val="24"/>
          <w:szCs w:val="24"/>
        </w:rPr>
        <w:t>por</w:t>
      </w:r>
      <w:r w:rsidRPr="00FB0B74">
        <w:rPr>
          <w:rFonts w:ascii="Times New Roman" w:hAnsi="Times New Roman" w:cs="Times New Roman"/>
          <w:sz w:val="24"/>
          <w:szCs w:val="24"/>
        </w:rPr>
        <w:t xml:space="preserve"> Linda </w:t>
      </w:r>
      <w:proofErr w:type="spellStart"/>
      <w:r w:rsidRPr="00FB0B74">
        <w:rPr>
          <w:rFonts w:ascii="Times New Roman" w:hAnsi="Times New Roman" w:cs="Times New Roman"/>
          <w:sz w:val="24"/>
          <w:szCs w:val="24"/>
        </w:rPr>
        <w:t>Poitras</w:t>
      </w:r>
      <w:proofErr w:type="spellEnd"/>
      <w:r w:rsidRPr="00FB0B74">
        <w:rPr>
          <w:rFonts w:ascii="Times New Roman" w:hAnsi="Times New Roman" w:cs="Times New Roman"/>
          <w:sz w:val="24"/>
          <w:szCs w:val="24"/>
        </w:rPr>
        <w:t xml:space="preserve"> do livro de Daniel </w:t>
      </w:r>
      <w:proofErr w:type="spellStart"/>
      <w:r w:rsidRPr="00FB0B74">
        <w:rPr>
          <w:rFonts w:ascii="Times New Roman" w:hAnsi="Times New Roman" w:cs="Times New Roman"/>
          <w:sz w:val="24"/>
          <w:szCs w:val="24"/>
        </w:rPr>
        <w:t>Segraves</w:t>
      </w:r>
      <w:proofErr w:type="spellEnd"/>
    </w:p>
    <w:p w14:paraId="0A6FF1C8" w14:textId="77777777" w:rsidR="007D156B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27D0CB" w14:textId="77777777" w:rsidR="007D156B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C194B0" w14:textId="46A85FA5" w:rsidR="00FB0B74" w:rsidRP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72013A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A5C705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D0C017" w14:textId="26B849A3" w:rsidR="00FB0B74" w:rsidRP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Liçõe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s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Disponíveis No Livro Didático Primário Recomendado:</w:t>
      </w:r>
    </w:p>
    <w:p w14:paraId="66E03EA0" w14:textId="77777777" w:rsidR="007D156B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6611D1" w14:textId="06EDABB0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Um: Apresentando a Hermenêutica</w:t>
      </w:r>
    </w:p>
    <w:p w14:paraId="1BC64224" w14:textId="50BD9DCE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Capítulo Dois: </w:t>
      </w:r>
      <w:r w:rsidR="00485F57">
        <w:rPr>
          <w:rFonts w:ascii="Times New Roman" w:hAnsi="Times New Roman" w:cs="Times New Roman"/>
          <w:sz w:val="24"/>
          <w:szCs w:val="24"/>
        </w:rPr>
        <w:t>Divergências</w:t>
      </w:r>
      <w:r w:rsidR="007D156B" w:rsidRPr="00FB0B74">
        <w:rPr>
          <w:rFonts w:ascii="Times New Roman" w:hAnsi="Times New Roman" w:cs="Times New Roman"/>
          <w:sz w:val="24"/>
          <w:szCs w:val="24"/>
        </w:rPr>
        <w:t xml:space="preserve"> </w:t>
      </w:r>
      <w:r w:rsidR="00485F57">
        <w:rPr>
          <w:rFonts w:ascii="Times New Roman" w:hAnsi="Times New Roman" w:cs="Times New Roman"/>
          <w:sz w:val="24"/>
          <w:szCs w:val="24"/>
        </w:rPr>
        <w:t>n</w:t>
      </w:r>
      <w:r w:rsidRPr="00FB0B74">
        <w:rPr>
          <w:rFonts w:ascii="Times New Roman" w:hAnsi="Times New Roman" w:cs="Times New Roman"/>
          <w:sz w:val="24"/>
          <w:szCs w:val="24"/>
        </w:rPr>
        <w:t>as Escrituras</w:t>
      </w:r>
    </w:p>
    <w:p w14:paraId="1FE40FEF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Três: Ferramentas para Estudo</w:t>
      </w:r>
    </w:p>
    <w:p w14:paraId="0B4407CA" w14:textId="1141E7F6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Capítulo Quatro: </w:t>
      </w:r>
      <w:r w:rsidR="00485F57">
        <w:rPr>
          <w:rFonts w:ascii="Times New Roman" w:hAnsi="Times New Roman" w:cs="Times New Roman"/>
          <w:sz w:val="24"/>
          <w:szCs w:val="24"/>
        </w:rPr>
        <w:t>Lacunas</w:t>
      </w:r>
      <w:r w:rsidRPr="00FB0B74">
        <w:rPr>
          <w:rFonts w:ascii="Times New Roman" w:hAnsi="Times New Roman" w:cs="Times New Roman"/>
          <w:sz w:val="24"/>
          <w:szCs w:val="24"/>
        </w:rPr>
        <w:t xml:space="preserve"> de Comunicação</w:t>
      </w:r>
    </w:p>
    <w:p w14:paraId="4BEB7A31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Cinco: As Seis Ciências Bíblicas</w:t>
      </w:r>
    </w:p>
    <w:p w14:paraId="23BB9147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Seis: Métodos de Interpretação</w:t>
      </w:r>
    </w:p>
    <w:p w14:paraId="6DC124B6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Capítulo Sete: O Princípio </w:t>
      </w:r>
      <w:proofErr w:type="spellStart"/>
      <w:r w:rsidRPr="00485F57">
        <w:rPr>
          <w:rFonts w:ascii="Times New Roman" w:hAnsi="Times New Roman" w:cs="Times New Roman"/>
          <w:sz w:val="24"/>
          <w:szCs w:val="24"/>
        </w:rPr>
        <w:t>Dispensacional</w:t>
      </w:r>
      <w:proofErr w:type="spellEnd"/>
    </w:p>
    <w:p w14:paraId="25AA44BE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Oito: O Princípio da Aliança</w:t>
      </w:r>
    </w:p>
    <w:p w14:paraId="101BF2C9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Nove: O Princípio da Divisão Étnica</w:t>
      </w:r>
    </w:p>
    <w:p w14:paraId="1B3DC09E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Dez: O Princípio Típico</w:t>
      </w:r>
    </w:p>
    <w:p w14:paraId="2B133EB2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Onze: O Princípio da Primeira Menção</w:t>
      </w:r>
    </w:p>
    <w:p w14:paraId="1C590F94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Doze: O Princípio da Menção Progressiva</w:t>
      </w:r>
    </w:p>
    <w:p w14:paraId="1FB75D3C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Treze: O Princípio da Menção Completa</w:t>
      </w:r>
    </w:p>
    <w:p w14:paraId="588090AD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Quatorze: O Princípio do Contexto</w:t>
      </w:r>
    </w:p>
    <w:p w14:paraId="573B1A6F" w14:textId="44C4EC7D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lastRenderedPageBreak/>
        <w:t>Capítulo Quinze: O Princípio d</w:t>
      </w:r>
      <w:r w:rsidR="00552B5A">
        <w:rPr>
          <w:rFonts w:ascii="Times New Roman" w:hAnsi="Times New Roman" w:cs="Times New Roman"/>
          <w:sz w:val="24"/>
          <w:szCs w:val="24"/>
        </w:rPr>
        <w:t>a</w:t>
      </w:r>
      <w:r w:rsidRPr="00FB0B74">
        <w:rPr>
          <w:rFonts w:ascii="Times New Roman" w:hAnsi="Times New Roman" w:cs="Times New Roman"/>
          <w:sz w:val="24"/>
          <w:szCs w:val="24"/>
        </w:rPr>
        <w:t xml:space="preserve"> </w:t>
      </w:r>
      <w:r w:rsidR="00552B5A">
        <w:rPr>
          <w:rFonts w:ascii="Times New Roman" w:hAnsi="Times New Roman" w:cs="Times New Roman"/>
          <w:sz w:val="24"/>
          <w:szCs w:val="24"/>
        </w:rPr>
        <w:t>Concordância</w:t>
      </w:r>
    </w:p>
    <w:p w14:paraId="1171E925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Dezesseis: O Princípio d</w:t>
      </w:r>
      <w:r w:rsidRPr="00552B5A">
        <w:rPr>
          <w:rFonts w:ascii="Times New Roman" w:hAnsi="Times New Roman" w:cs="Times New Roman"/>
          <w:sz w:val="24"/>
          <w:szCs w:val="24"/>
        </w:rPr>
        <w:t>a Lacuna</w:t>
      </w:r>
    </w:p>
    <w:p w14:paraId="5A09FB98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Dezessete: O Princípio da Referência Dupla</w:t>
      </w:r>
    </w:p>
    <w:p w14:paraId="4C05D72D" w14:textId="4929A12D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Capítulo Dezoito: </w:t>
      </w:r>
      <w:r w:rsidR="00552B5A">
        <w:rPr>
          <w:rFonts w:ascii="Times New Roman" w:hAnsi="Times New Roman" w:cs="Times New Roman"/>
          <w:sz w:val="24"/>
          <w:szCs w:val="24"/>
        </w:rPr>
        <w:t xml:space="preserve">O </w:t>
      </w:r>
      <w:r w:rsidRPr="00FB0B74">
        <w:rPr>
          <w:rFonts w:ascii="Times New Roman" w:hAnsi="Times New Roman" w:cs="Times New Roman"/>
          <w:sz w:val="24"/>
          <w:szCs w:val="24"/>
        </w:rPr>
        <w:t>Princípio C</w:t>
      </w:r>
      <w:r w:rsidR="00552B5A">
        <w:rPr>
          <w:rFonts w:ascii="Times New Roman" w:hAnsi="Times New Roman" w:cs="Times New Roman"/>
          <w:sz w:val="24"/>
          <w:szCs w:val="24"/>
        </w:rPr>
        <w:t>risto-</w:t>
      </w:r>
      <w:proofErr w:type="spellStart"/>
      <w:r w:rsidR="00552B5A">
        <w:rPr>
          <w:rFonts w:ascii="Times New Roman" w:hAnsi="Times New Roman" w:cs="Times New Roman"/>
          <w:sz w:val="24"/>
          <w:szCs w:val="24"/>
        </w:rPr>
        <w:t>cê</w:t>
      </w:r>
      <w:r w:rsidRPr="00FB0B74">
        <w:rPr>
          <w:rFonts w:ascii="Times New Roman" w:hAnsi="Times New Roman" w:cs="Times New Roman"/>
          <w:sz w:val="24"/>
          <w:szCs w:val="24"/>
        </w:rPr>
        <w:t>ntr</w:t>
      </w:r>
      <w:r w:rsidR="00552B5A">
        <w:rPr>
          <w:rFonts w:ascii="Times New Roman" w:hAnsi="Times New Roman" w:cs="Times New Roman"/>
          <w:sz w:val="24"/>
          <w:szCs w:val="24"/>
        </w:rPr>
        <w:t>ic</w:t>
      </w:r>
      <w:r w:rsidRPr="00FB0B74">
        <w:rPr>
          <w:rFonts w:ascii="Times New Roman" w:hAnsi="Times New Roman" w:cs="Times New Roman"/>
          <w:sz w:val="24"/>
          <w:szCs w:val="24"/>
        </w:rPr>
        <w:t>o</w:t>
      </w:r>
      <w:proofErr w:type="spellEnd"/>
    </w:p>
    <w:p w14:paraId="171CB4D7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Dezenove: O Princípio da Menção Comparativa</w:t>
      </w:r>
    </w:p>
    <w:p w14:paraId="43524744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Vinte: O Princípio Moral</w:t>
      </w:r>
    </w:p>
    <w:p w14:paraId="4684C728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Vinte e um: O Princípio Parabólico</w:t>
      </w:r>
    </w:p>
    <w:p w14:paraId="6ED91FFF" w14:textId="77777777" w:rsidR="00FB0B74" w:rsidRPr="00FB0B74" w:rsidRDefault="00FB0B74" w:rsidP="007D156B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Capítulo Vinte e Dois: Questões Hermenêuticas Finais</w:t>
      </w:r>
    </w:p>
    <w:p w14:paraId="1AAD6B01" w14:textId="73E1006F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DAA407" w14:textId="77777777" w:rsidR="007D156B" w:rsidRPr="00FB0B74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EED876" w14:textId="0FB7F98F" w:rsidR="00FB0B74" w:rsidRP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AF2EB34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4435F68B" w14:textId="350073E9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             Inglês, </w:t>
      </w:r>
      <w:proofErr w:type="gramStart"/>
      <w:r w:rsidR="007D156B" w:rsidRPr="00FB0B74">
        <w:rPr>
          <w:rFonts w:ascii="Times New Roman" w:hAnsi="Times New Roman" w:cs="Times New Roman"/>
          <w:sz w:val="24"/>
          <w:szCs w:val="24"/>
        </w:rPr>
        <w:t>Espanhol</w:t>
      </w:r>
      <w:proofErr w:type="gramEnd"/>
      <w:r w:rsidR="007D156B" w:rsidRPr="00FB0B74">
        <w:rPr>
          <w:rFonts w:ascii="Times New Roman" w:hAnsi="Times New Roman" w:cs="Times New Roman"/>
          <w:sz w:val="24"/>
          <w:szCs w:val="24"/>
        </w:rPr>
        <w:t xml:space="preserve"> </w:t>
      </w:r>
      <w:r w:rsidRPr="00FB0B74">
        <w:rPr>
          <w:rFonts w:ascii="Times New Roman" w:hAnsi="Times New Roman" w:cs="Times New Roman"/>
          <w:sz w:val="24"/>
          <w:szCs w:val="24"/>
        </w:rPr>
        <w:t xml:space="preserve">e </w:t>
      </w:r>
      <w:r w:rsidR="007D156B" w:rsidRPr="00FB0B74">
        <w:rPr>
          <w:rFonts w:ascii="Times New Roman" w:hAnsi="Times New Roman" w:cs="Times New Roman"/>
          <w:sz w:val="24"/>
          <w:szCs w:val="24"/>
        </w:rPr>
        <w:t>Francês</w:t>
      </w:r>
    </w:p>
    <w:p w14:paraId="6540055D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5D0B05" w14:textId="77777777" w:rsidR="007D156B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1ABCF1" w14:textId="598EBFD7" w:rsidR="00FB0B74" w:rsidRP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0CF4290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9866C" w14:textId="1BA3EF00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               Materiais adicionais disponíveis </w:t>
      </w:r>
      <w:r w:rsidR="00552B5A">
        <w:rPr>
          <w:rFonts w:ascii="Times New Roman" w:hAnsi="Times New Roman" w:cs="Times New Roman"/>
          <w:sz w:val="24"/>
          <w:szCs w:val="24"/>
        </w:rPr>
        <w:t>para</w:t>
      </w:r>
      <w:r w:rsidRPr="00FB0B74">
        <w:rPr>
          <w:rFonts w:ascii="Times New Roman" w:hAnsi="Times New Roman" w:cs="Times New Roman"/>
          <w:sz w:val="24"/>
          <w:szCs w:val="24"/>
        </w:rPr>
        <w:t xml:space="preserve"> gats@upci.org</w:t>
      </w:r>
    </w:p>
    <w:p w14:paraId="6BE6BDAA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071A32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84B852" w14:textId="77777777" w:rsidR="00FB0B74" w:rsidRP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1B9FF88F" w14:textId="54627864" w:rsid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B173A3" w14:textId="12AE0FDB" w:rsidR="007D156B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2FDA8" w14:textId="77777777" w:rsidR="007D156B" w:rsidRPr="00FB0B74" w:rsidRDefault="007D156B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0F4676" w14:textId="77777777" w:rsidR="00FB0B74" w:rsidRPr="00FB0B74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0F05C4" w14:textId="3B3FF6BE" w:rsidR="00FB0B74" w:rsidRPr="007D156B" w:rsidRDefault="00FB0B74" w:rsidP="00FB0B7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156B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7D156B" w:rsidRPr="007D156B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7D156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EB85B8" w14:textId="77777777" w:rsidR="007D156B" w:rsidRDefault="00FB0B74" w:rsidP="00FB0B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45D915" w14:textId="1FE99AFC" w:rsidR="00827F2E" w:rsidRPr="00827F2E" w:rsidRDefault="00FB0B74" w:rsidP="007D156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0B74">
        <w:rPr>
          <w:rFonts w:ascii="Times New Roman" w:hAnsi="Times New Roman" w:cs="Times New Roman"/>
          <w:sz w:val="24"/>
          <w:szCs w:val="24"/>
        </w:rPr>
        <w:t>Agosto de 2020</w:t>
      </w:r>
    </w:p>
    <w:sectPr w:rsidR="00827F2E" w:rsidRPr="00827F2E" w:rsidSect="00827F2E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C966F0" w14:textId="77777777" w:rsidR="00F6342E" w:rsidRDefault="00F6342E" w:rsidP="00827F2E">
      <w:pPr>
        <w:spacing w:after="0" w:line="240" w:lineRule="auto"/>
      </w:pPr>
      <w:r>
        <w:separator/>
      </w:r>
    </w:p>
  </w:endnote>
  <w:endnote w:type="continuationSeparator" w:id="0">
    <w:p w14:paraId="74669CDF" w14:textId="77777777" w:rsidR="00F6342E" w:rsidRDefault="00F6342E" w:rsidP="00827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B7F593" w14:textId="77777777" w:rsidR="00F6342E" w:rsidRDefault="00F6342E" w:rsidP="00827F2E">
      <w:pPr>
        <w:spacing w:after="0" w:line="240" w:lineRule="auto"/>
      </w:pPr>
      <w:r>
        <w:separator/>
      </w:r>
    </w:p>
  </w:footnote>
  <w:footnote w:type="continuationSeparator" w:id="0">
    <w:p w14:paraId="13EEBEF0" w14:textId="77777777" w:rsidR="00F6342E" w:rsidRDefault="00F6342E" w:rsidP="00827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51737D" w14:textId="6888D824" w:rsidR="00827F2E" w:rsidRDefault="00827F2E" w:rsidP="00827F2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1F88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D61C8B6" wp14:editId="2B5DDB5D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6121BC9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E1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</w:rPr>
          <w:t>1</w:t>
        </w:r>
        <w:r w:rsidRPr="006E1F88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E1F88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E1F88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–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Grau Associado</w:t>
        </w:r>
      </w:p>
    </w:sdtContent>
  </w:sdt>
  <w:p w14:paraId="468B5085" w14:textId="77777777" w:rsidR="00827F2E" w:rsidRDefault="00827F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2E"/>
    <w:rsid w:val="00143AC8"/>
    <w:rsid w:val="00397E43"/>
    <w:rsid w:val="00485F57"/>
    <w:rsid w:val="004C3F77"/>
    <w:rsid w:val="00552B5A"/>
    <w:rsid w:val="0063140A"/>
    <w:rsid w:val="00794D10"/>
    <w:rsid w:val="007D156B"/>
    <w:rsid w:val="007E4B4E"/>
    <w:rsid w:val="00827F2E"/>
    <w:rsid w:val="00871CA6"/>
    <w:rsid w:val="00880F9D"/>
    <w:rsid w:val="00A1155A"/>
    <w:rsid w:val="00B24D45"/>
    <w:rsid w:val="00F37BE4"/>
    <w:rsid w:val="00F539FC"/>
    <w:rsid w:val="00F6342E"/>
    <w:rsid w:val="00FB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A1179"/>
  <w15:chartTrackingRefBased/>
  <w15:docId w15:val="{80B98117-CAA0-414C-A610-DDAE3904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F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F2E"/>
  </w:style>
  <w:style w:type="paragraph" w:styleId="Footer">
    <w:name w:val="footer"/>
    <w:basedOn w:val="Normal"/>
    <w:link w:val="FooterChar"/>
    <w:uiPriority w:val="99"/>
    <w:unhideWhenUsed/>
    <w:rsid w:val="00827F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2020-11-04T19:57:00Z</dcterms:created>
  <dcterms:modified xsi:type="dcterms:W3CDTF">2020-11-04T19:57:00Z</dcterms:modified>
</cp:coreProperties>
</file>